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style2.xml" ContentType="application/vnd.ms-office.chartstyle+xml"/>
  <Override PartName="/word/charts/chart2.xml" ContentType="application/vnd.openxmlformats-officedocument.drawingml.chart+xml"/>
  <Override PartName="/word/charts/colors2.xml" ContentType="application/vnd.ms-office.chartcolorstyle+xml"/>
  <Override PartName="/word/charts/style1.xml" ContentType="application/vnd.ms-office.chartsty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  <w:t xml:space="preserve">Demografski trendovi i struktura stanovništva Sjenice kroz različite popisne godine</w:t>
      </w:r>
      <w:r>
        <w:rPr>
          <w:b/>
          <w:bCs/>
          <w:sz w:val="32"/>
          <w:szCs w:val="32"/>
          <w:highlight w:val="none"/>
        </w:rPr>
      </w:r>
      <w:r/>
    </w:p>
    <w:p>
      <w:r>
        <w:rPr>
          <w:b/>
          <w:bCs/>
        </w:rPr>
        <w:t xml:space="preserve">Originalni podaci: </w:t>
      </w:r>
      <w:r>
        <w:rPr>
          <w:b/>
          <w:bCs/>
          <w:highlight w:val="none"/>
        </w:rPr>
      </w:r>
      <w:r/>
    </w:p>
    <w:p>
      <w:pPr>
        <w:jc w:val="both"/>
      </w:pPr>
      <w:r>
        <w:rPr>
          <w:highlight w:val="none"/>
        </w:rPr>
        <w:t xml:space="preserve">Komentar demog</w:t>
      </w:r>
      <w:r>
        <w:rPr>
          <w:highlight w:val="none"/>
        </w:rPr>
        <w:t xml:space="preserve">rafskih trendova i strukture stanovništva se bazira na originalnim podacima preuzetim iz baze Republičkog zavoda za statistiku. Podaci se odnose na ukuban broj stanovnika i na starosnu strukturu stanovnika zabeleženu u popisima za koje su podaci dostupni:</w:t>
      </w:r>
      <w:r>
        <w:rPr>
          <w:highlight w:val="none"/>
        </w:rPr>
      </w:r>
      <w:r/>
    </w:p>
    <w:tbl>
      <w:tblPr>
        <w:tblStyle w:val="808"/>
        <w:tblW w:w="0" w:type="auto"/>
        <w:jc w:val="center"/>
        <w:tblInd w:w="-96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7"/>
        <w:gridCol w:w="6503"/>
      </w:tblGrid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Cs w:val="0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t xml:space="preserve">Sjenica</w:t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83" w:lineRule="atLeast"/>
              <w:rPr>
                <w:rFonts w:ascii="Asana" w:hAnsi="Asana" w:cs="Asana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Broj stanovnika</w:t>
            </w:r>
            <w:r>
              <w:rPr>
                <w:rFonts w:ascii="Asana" w:hAnsi="Asana" w:cs="Asana"/>
                <w:b w:val="0"/>
                <w:bCs w:val="0"/>
                <w:i w:val="0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0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suppressLineNumbers w:val="0"/>
            </w:pPr>
            <w:r>
              <w:rPr>
                <w:rFonts w:ascii="Asana" w:hAnsi="Asana" w:eastAsia="Arial Narrow" w:cs="Asana"/>
                <w:i/>
                <w:iCs/>
                <w:color w:val="000000"/>
                <w:sz w:val="22"/>
                <w:szCs w:val="22"/>
              </w:rPr>
            </w:r>
            <w:r>
              <w:drawing>
                <wp:inline distT="0" distB="0" distL="0" distR="0">
                  <wp:extent cx="4046196" cy="2500906"/>
                  <wp:effectExtent l="4762" t="4762" r="4762" b="4762"/>
                  <wp:docPr id="3" name="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  <w:r>
              <w:rPr>
                <w:rFonts w:ascii="Asana" w:hAnsi="Asana" w:cs="Asana"/>
                <w:bCs/>
                <w:i/>
                <w:color w:val="000000"/>
                <w:sz w:val="22"/>
                <w:szCs w:val="22"/>
              </w:rPr>
            </w:r>
            <w:r/>
          </w:p>
          <w:p>
            <w:pPr>
              <w:rPr>
                <w:rFonts w:ascii="Asana" w:hAnsi="Asana" w:cs="Asana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Asana" w:hAnsi="Asana" w:cs="Asana"/>
                <w:bCs/>
                <w:i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Cs w:val="0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g.1948</w:t>
            </w:r>
            <w:r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i w:val="0"/>
                <w:iCs w:val="0"/>
                <w:sz w:val="22"/>
                <w:szCs w:val="22"/>
              </w:rPr>
              <w:t xml:space="preserve">31980</w:t>
            </w:r>
            <w:r>
              <w:rPr>
                <w:rFonts w:ascii="Asana" w:hAnsi="Asana" w:cs="Asana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Cs w:val="0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g.1953</w:t>
            </w:r>
            <w:r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i w:val="0"/>
                <w:iCs w:val="0"/>
                <w:sz w:val="22"/>
                <w:szCs w:val="22"/>
              </w:rPr>
              <w:t xml:space="preserve">36033</w:t>
            </w:r>
            <w:r>
              <w:rPr>
                <w:rFonts w:ascii="Asana" w:hAnsi="Asana" w:cs="Asana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/>
                <w:bCs/>
              </w:rPr>
              <w:suppressLineNumbers w:val="0"/>
            </w:pPr>
            <w:r>
              <w:rPr>
                <w:rFonts w:ascii="Asana" w:hAnsi="Asana" w:eastAsia="Calibri" w:cs="Asana"/>
                <w:b/>
                <w:bCs/>
                <w:i w:val="0"/>
                <w:iCs w:val="0"/>
                <w:color w:val="000000"/>
                <w:sz w:val="22"/>
                <w:szCs w:val="22"/>
              </w:rPr>
              <w:t xml:space="preserve">g.1961</w:t>
            </w:r>
            <w:r>
              <w:rPr>
                <w:b/>
                <w:bCs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/>
                <w:bCs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/>
                <w:bCs/>
                <w:i w:val="0"/>
                <w:iCs w:val="0"/>
                <w:sz w:val="22"/>
                <w:szCs w:val="22"/>
              </w:rPr>
              <w:t xml:space="preserve">36950</w:t>
            </w:r>
            <w:r>
              <w:rPr>
                <w:rFonts w:ascii="Asana" w:hAnsi="Asana" w:cs="Asana"/>
                <w:b/>
                <w:bCs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Cs w:val="0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g.1971</w:t>
            </w:r>
            <w:r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i w:val="0"/>
                <w:iCs w:val="0"/>
                <w:sz w:val="22"/>
                <w:szCs w:val="22"/>
              </w:rPr>
              <w:t xml:space="preserve">36622</w:t>
            </w:r>
            <w:r>
              <w:rPr>
                <w:rFonts w:ascii="Asana" w:hAnsi="Asana" w:cs="Asana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Cs w:val="0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g.1981</w:t>
            </w:r>
            <w:r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i w:val="0"/>
                <w:iCs w:val="0"/>
                <w:sz w:val="22"/>
                <w:szCs w:val="22"/>
              </w:rPr>
              <w:t xml:space="preserve">35570</w:t>
            </w:r>
            <w:r>
              <w:rPr>
                <w:rFonts w:ascii="Asana" w:hAnsi="Asana" w:cs="Asana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Cs w:val="0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g.1991</w:t>
            </w:r>
            <w:r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i w:val="0"/>
                <w:iCs w:val="0"/>
                <w:sz w:val="22"/>
                <w:szCs w:val="22"/>
              </w:rPr>
              <w:t xml:space="preserve">33681</w:t>
            </w:r>
            <w:r>
              <w:rPr>
                <w:rFonts w:ascii="Asana" w:hAnsi="Asana" w:cs="Asana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Cs w:val="0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g.2002</w:t>
            </w:r>
            <w:r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i w:val="0"/>
                <w:iCs w:val="0"/>
                <w:sz w:val="22"/>
                <w:szCs w:val="22"/>
              </w:rPr>
              <w:t xml:space="preserve">33769</w:t>
            </w:r>
            <w:r>
              <w:rPr>
                <w:rFonts w:ascii="Asana" w:hAnsi="Asana" w:cs="Asana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Cs w:val="0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g.2011</w:t>
            </w:r>
            <w:r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i w:val="0"/>
                <w:iCs w:val="0"/>
                <w:sz w:val="22"/>
                <w:szCs w:val="22"/>
              </w:rPr>
              <w:t xml:space="preserve">26392</w:t>
            </w:r>
            <w:r>
              <w:rPr>
                <w:rFonts w:ascii="Asana" w:hAnsi="Asana" w:cs="Asana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eastAsia="Calibri" w:cs="Asana"/>
                <w:bCs w:val="0"/>
                <w:color w:val="000000"/>
                <w:highlight w:val="none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g.2022</w:t>
            </w:r>
            <w:r>
              <w:rPr>
                <w:rFonts w:ascii="Asana" w:hAnsi="Asana" w:eastAsia="Calibri" w:cs="Asana"/>
                <w:b w:val="0"/>
                <w:bCs w:val="0"/>
                <w:i w:val="0"/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i w:val="0"/>
                <w:iCs w:val="0"/>
                <w:sz w:val="22"/>
                <w:szCs w:val="22"/>
              </w:rPr>
              <w:t xml:space="preserve">24083</w:t>
            </w:r>
            <w:r>
              <w:rPr>
                <w:rFonts w:ascii="Asana" w:hAnsi="Asana" w:cs="Asana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eastAsia="Calibri" w:cs="Asana"/>
                <w:color w:val="000000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eastAsia="Arial Narrow" w:cs="Asana"/>
                <w:color w:val="000000"/>
              </w:rPr>
              <w:suppressLineNumbers w:val="0"/>
            </w:pPr>
            <w:r>
              <w:rPr>
                <w:rFonts w:ascii="Asana" w:hAnsi="Asana" w:eastAsia="Arial Narrow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Asana" w:hAnsi="Asana" w:eastAsia="Arial Narrow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9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Tabela 1. – Ukupan broj stanovnika po popisima</w:t>
            </w:r>
            <w:r/>
          </w:p>
        </w:tc>
      </w:tr>
    </w:tbl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  <w:t xml:space="preserve">Drugi set podataka koji se koristi su podaci o starosnoj strukturi stanovnika po popisima:</w:t>
      </w:r>
      <w:r>
        <w:rPr>
          <w:highlight w:val="none"/>
        </w:rPr>
      </w:r>
      <w:r/>
    </w:p>
    <w:tbl>
      <w:tblPr>
        <w:tblStyle w:val="80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8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638"/>
        <w:gridCol w:w="638"/>
        <w:gridCol w:w="638"/>
      </w:tblGrid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Sjenica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0-4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5-9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10-14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15-19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20-24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25-29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30-34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35-39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40-44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45-49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50-54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55-59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60-64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65-69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70-74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75-79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80-84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85-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ukupno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g.1948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31980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g.1953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36033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g.1961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36950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g.1971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36622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g.1981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3505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3813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4116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4246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3398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2652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2146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1739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1971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1911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1634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1047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1000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1192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1000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35570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g.1991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3010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2823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3126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3545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3296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2761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2188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2042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1859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1554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1807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1744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1412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919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628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447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254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33681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g.2002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1946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1934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2286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2313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2205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2071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1812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1797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1707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1696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1597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1323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1417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1352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1071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563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437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33769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g.2011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1766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1928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1881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1817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1948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1765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1765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1783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1808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1808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1603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1565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1442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1058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1070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803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399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183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26392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g.2022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1477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1598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1705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1696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1478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1310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1493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1484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1534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1566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1557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1643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1533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1389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1108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745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477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290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24083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gridSpan w:val="20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9355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Asana" w:hAnsi="Asana" w:cs="Asana"/>
                <w:b w:val="0"/>
                <w:bCs w:val="0"/>
                <w:i w:val="0"/>
                <w:color w:val="000000"/>
                <w:sz w:val="18"/>
                <w:szCs w:val="18"/>
              </w:rPr>
            </w:pPr>
            <w:r>
              <w:rPr>
                <w:rFonts w:ascii="Asana" w:hAnsi="Asana" w:eastAsia="Arial Narrow" w:cs="Asan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 xml:space="preserve">Tabela 2. – Starosna struktura stanovnika zabeležena u popisima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</w:tbl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  <w:t xml:space="preserve">Na osnovu ove tabele može se kreirati grafik koji pokazuje kretanje pojedinih starosnih grupa kroz popise za koje postoje javno dostupni podaci:</w:t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highlight w:val="none"/>
        </w:rPr>
      </w:r>
      <w:r>
        <w:drawing>
          <wp:inline distT="0" distB="0" distL="0" distR="0">
            <wp:extent cx="5153025" cy="3119437"/>
            <wp:effectExtent l="4762" t="4762" r="4762" b="4762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highlight w:val="none"/>
        </w:rPr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Podaci o stanovništvu Sjenice pokazuju jasan obrazac demografskih promena tokom decenija, uključujući pad ukupnog broja stanovnika i promene u starosnoj strukturi. Analiziram ključne trendove i uzroke.</w:t>
      </w:r>
      <w:r/>
    </w:p>
    <w:p>
      <w:pPr>
        <w:pStyle w:val="780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Ukupan broj stanovnika kroz vreme:</w:t>
      </w:r>
      <w:r/>
    </w:p>
    <w:p>
      <w:pPr>
        <w:pStyle w:val="956"/>
        <w:numPr>
          <w:ilvl w:val="0"/>
          <w:numId w:val="33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Rast do 1960-ih:</w:t>
      </w:r>
      <w:r/>
    </w:p>
    <w:p>
      <w:pPr>
        <w:pStyle w:val="956"/>
        <w:numPr>
          <w:ilvl w:val="0"/>
          <w:numId w:val="3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stanovnika raste od 31.980 (1948) na 36.950 (1961), što odražava visok natalitet i povoljne demografske uslove tog vremena.</w:t>
      </w:r>
      <w:r/>
    </w:p>
    <w:p>
      <w:pPr>
        <w:pStyle w:val="956"/>
        <w:numPr>
          <w:ilvl w:val="0"/>
          <w:numId w:val="35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Stagnacija (1971–1991):</w:t>
      </w:r>
      <w:r/>
    </w:p>
    <w:p>
      <w:pPr>
        <w:pStyle w:val="956"/>
        <w:numPr>
          <w:ilvl w:val="0"/>
          <w:numId w:val="3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stanovnika ostaje stabilan, između 33.622 i 35.570. Ovo može biti posledica početka migracija i smanjenja nataliteta.</w:t>
      </w:r>
      <w:r/>
    </w:p>
    <w:p>
      <w:pPr>
        <w:pStyle w:val="956"/>
        <w:numPr>
          <w:ilvl w:val="0"/>
          <w:numId w:val="37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Pad nakon 2002:</w:t>
      </w:r>
      <w:r/>
    </w:p>
    <w:p>
      <w:pPr>
        <w:pStyle w:val="956"/>
        <w:numPr>
          <w:ilvl w:val="0"/>
          <w:numId w:val="3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Od 33.769 u 2002. godini broj stanovnika se smanjuje na 26.392 u 2011. i 24.083 u 2022. Ovo je značajan pad (oko 30%) u poslednje dve decenije.</w:t>
      </w:r>
      <w:r/>
    </w:p>
    <w:p>
      <w:pPr>
        <w:pStyle w:val="780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Starosna struktura:</w:t>
      </w:r>
      <w:r/>
    </w:p>
    <w:p>
      <w:pPr>
        <w:pStyle w:val="782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Deca i mladi (0–19 godina):</w:t>
      </w:r>
      <w:r/>
    </w:p>
    <w:p>
      <w:pPr>
        <w:pStyle w:val="956"/>
        <w:numPr>
          <w:ilvl w:val="0"/>
          <w:numId w:val="3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Kontinuirano opadanje:</w:t>
      </w:r>
      <w:r/>
    </w:p>
    <w:p>
      <w:pPr>
        <w:pStyle w:val="956"/>
        <w:numPr>
          <w:ilvl w:val="0"/>
          <w:numId w:val="4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Grupa 0–4 godine opada sa 3.505 (1981) na 1.477 (2022), što ukazuje na smanjenje nataliteta. Sličan trend je prisutan i kod grupa 5–9 i 10–14 godina.</w:t>
      </w:r>
      <w:r/>
    </w:p>
    <w:p>
      <w:pPr>
        <w:pStyle w:val="956"/>
        <w:numPr>
          <w:ilvl w:val="0"/>
          <w:numId w:val="4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primer, ukupno stanovništvo mlađe od 20 godina:</w:t>
      </w:r>
      <w:r/>
    </w:p>
    <w:p>
      <w:pPr>
        <w:pStyle w:val="956"/>
        <w:numPr>
          <w:ilvl w:val="0"/>
          <w:numId w:val="4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1981: oko 15.680 (44% ukupne populacije).</w:t>
      </w:r>
      <w:r/>
    </w:p>
    <w:p>
      <w:pPr>
        <w:pStyle w:val="956"/>
        <w:numPr>
          <w:ilvl w:val="0"/>
          <w:numId w:val="4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2022: oko 6.476 (27% ukupne populacije).</w:t>
      </w:r>
      <w:r/>
    </w:p>
    <w:p>
      <w:pPr>
        <w:pStyle w:val="782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Radno sposobno stanovništvo (20–59 godina):</w:t>
      </w:r>
      <w:r/>
    </w:p>
    <w:p>
      <w:pPr>
        <w:pStyle w:val="956"/>
        <w:numPr>
          <w:ilvl w:val="0"/>
          <w:numId w:val="4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Blagi pad:</w:t>
      </w:r>
      <w:r/>
    </w:p>
    <w:p>
      <w:pPr>
        <w:pStyle w:val="956"/>
        <w:numPr>
          <w:ilvl w:val="0"/>
          <w:numId w:val="4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Radno sposobno stanovništvo čini značajan deo populacije, ali i ovde primećujemo pad.</w:t>
      </w:r>
      <w:r/>
    </w:p>
    <w:p>
      <w:pPr>
        <w:pStyle w:val="956"/>
        <w:numPr>
          <w:ilvl w:val="0"/>
          <w:numId w:val="4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primer, grupa 20–59 godina:</w:t>
      </w:r>
      <w:r/>
    </w:p>
    <w:p>
      <w:pPr>
        <w:pStyle w:val="956"/>
        <w:numPr>
          <w:ilvl w:val="0"/>
          <w:numId w:val="4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1981: oko 15.770 (44%).</w:t>
      </w:r>
      <w:r/>
    </w:p>
    <w:p>
      <w:pPr>
        <w:pStyle w:val="956"/>
        <w:numPr>
          <w:ilvl w:val="0"/>
          <w:numId w:val="4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2022: oko 11.520 (48%).</w:t>
      </w:r>
      <w:r/>
    </w:p>
    <w:p>
      <w:pPr>
        <w:pStyle w:val="782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Starije stanovništvo (60+ godina):</w:t>
      </w:r>
      <w:r/>
    </w:p>
    <w:p>
      <w:pPr>
        <w:pStyle w:val="956"/>
        <w:numPr>
          <w:ilvl w:val="0"/>
          <w:numId w:val="4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Porast udela:</w:t>
      </w:r>
      <w:r/>
    </w:p>
    <w:p>
      <w:pPr>
        <w:pStyle w:val="956"/>
        <w:numPr>
          <w:ilvl w:val="0"/>
          <w:numId w:val="5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starijih od 60 godina raste, što ukazuje na proces starenja stanovništva. Na primer:</w:t>
      </w:r>
      <w:r/>
    </w:p>
    <w:p>
      <w:pPr>
        <w:pStyle w:val="956"/>
        <w:numPr>
          <w:ilvl w:val="0"/>
          <w:numId w:val="5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1981: oko 4.800 (13% populacije).</w:t>
      </w:r>
      <w:r/>
    </w:p>
    <w:p>
      <w:pPr>
        <w:pStyle w:val="956"/>
        <w:numPr>
          <w:ilvl w:val="0"/>
          <w:numId w:val="5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2022: oko 5.385 (22% populacije).</w:t>
      </w:r>
      <w:r/>
    </w:p>
    <w:p>
      <w:pPr>
        <w:pStyle w:val="780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Ključni demografski trendovi:</w:t>
      </w:r>
      <w:r/>
    </w:p>
    <w:p>
      <w:pPr>
        <w:pStyle w:val="782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Smanjenje nataliteta:</w:t>
      </w:r>
      <w:r/>
    </w:p>
    <w:p>
      <w:pPr>
        <w:pStyle w:val="956"/>
        <w:numPr>
          <w:ilvl w:val="0"/>
          <w:numId w:val="5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svim mlađim grupama beleži se drastičan pad broja stanovnika. Ovaj trend je karakterističan za ruralne oblasti i rezultat je manjeg broja dece po porodici.</w:t>
      </w:r>
      <w:r/>
    </w:p>
    <w:p>
      <w:pPr>
        <w:pStyle w:val="782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Migracije:</w:t>
      </w:r>
      <w:r/>
    </w:p>
    <w:p>
      <w:pPr>
        <w:pStyle w:val="956"/>
        <w:numPr>
          <w:ilvl w:val="0"/>
          <w:numId w:val="5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Sjenica je pogođena intenzivnim migracijama, posebno mladih i radno sposobnih stanovnika koji odlaze u veće gradove ili inostranstvo u potrazi za boljim životnim uslovima. Ovo je glavni razlog za pad ukupnog broja stanovnika.</w:t>
      </w:r>
      <w:r/>
    </w:p>
    <w:p>
      <w:pPr>
        <w:pStyle w:val="782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Starenje stanovništva:</w:t>
      </w:r>
      <w:r/>
    </w:p>
    <w:p>
      <w:pPr>
        <w:pStyle w:val="956"/>
        <w:numPr>
          <w:ilvl w:val="0"/>
          <w:numId w:val="5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Udeo starijih (60+ godina) raste, dok mlađih grupa (0–19 godina) opada. Ovo ukazuje na demografsko starenje i sve veći pritisak na zdravstvene i socijalne sisteme.</w:t>
      </w:r>
      <w:r/>
    </w:p>
    <w:p>
      <w:pPr>
        <w:pStyle w:val="780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Predikcije za 2031. i 2041. godinu: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Ako se trenutni trendovi nastave, može se očekivati:</w:t>
      </w:r>
      <w:r/>
    </w:p>
    <w:p>
      <w:pPr>
        <w:pStyle w:val="782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Ukupan broj stanovnika:</w:t>
      </w:r>
      <w:r/>
    </w:p>
    <w:p>
      <w:pPr>
        <w:pStyle w:val="956"/>
        <w:numPr>
          <w:ilvl w:val="0"/>
          <w:numId w:val="5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2031. godina:</w:t>
      </w:r>
      <w:r/>
    </w:p>
    <w:p>
      <w:pPr>
        <w:pStyle w:val="956"/>
        <w:numPr>
          <w:ilvl w:val="0"/>
          <w:numId w:val="5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Ako se pad od poslednjih 20 godina nastavi, broj stanovnika bi mogao biti između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22.000 i 23.000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956"/>
        <w:numPr>
          <w:ilvl w:val="0"/>
          <w:numId w:val="5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2041. godina:</w:t>
      </w:r>
      <w:r/>
    </w:p>
    <w:p>
      <w:pPr>
        <w:pStyle w:val="956"/>
        <w:numPr>
          <w:ilvl w:val="0"/>
          <w:numId w:val="5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Dalji pad bi mogao smanjiti populaciju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19.000–20.000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782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Starosna struktura:</w:t>
      </w:r>
      <w:r/>
    </w:p>
    <w:p>
      <w:pPr>
        <w:pStyle w:val="956"/>
        <w:numPr>
          <w:ilvl w:val="0"/>
          <w:numId w:val="6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Deca i mladi (0–19 godina):</w:t>
      </w:r>
      <w:r/>
    </w:p>
    <w:p>
      <w:pPr>
        <w:pStyle w:val="956"/>
        <w:numPr>
          <w:ilvl w:val="0"/>
          <w:numId w:val="6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Njihov udeo u ukupnoj populaciji će nastaviti da opada, dostižući oko 20% do 2041. godine.</w:t>
      </w:r>
      <w:r/>
    </w:p>
    <w:p>
      <w:pPr>
        <w:pStyle w:val="956"/>
        <w:numPr>
          <w:ilvl w:val="0"/>
          <w:numId w:val="6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Starije stanovništvo (60+ godina):</w:t>
      </w:r>
      <w:r/>
    </w:p>
    <w:p>
      <w:pPr>
        <w:pStyle w:val="956"/>
        <w:numPr>
          <w:ilvl w:val="0"/>
          <w:numId w:val="6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Starije osobe će činiti čak 30–35% populacije, što će dodatno ubrzati proces demografskog starenja.</w:t>
      </w:r>
      <w:r/>
    </w:p>
    <w:p>
      <w:pPr>
        <w:pStyle w:val="780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Zaključak:</w:t>
      </w:r>
      <w:r/>
    </w:p>
    <w:p>
      <w:pPr>
        <w:ind w:left="709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Demografski izazovi:</w:t>
      </w:r>
      <w:r/>
    </w:p>
    <w:p>
      <w:pPr>
        <w:pStyle w:val="956"/>
        <w:numPr>
          <w:ilvl w:val="0"/>
          <w:numId w:val="6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Pad nataliteta, migracije i starenje stanovništva najveći su izazovi za opštinu Sjenica. Bez intervencija, populacija će nastaviti da opada.</w:t>
      </w:r>
      <w:r/>
    </w:p>
    <w:p>
      <w:pPr>
        <w:ind w:left="709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Preporuke za stabilizaciju populacije:</w:t>
      </w:r>
      <w:r/>
    </w:p>
    <w:p>
      <w:pPr>
        <w:pStyle w:val="956"/>
        <w:numPr>
          <w:ilvl w:val="0"/>
          <w:numId w:val="6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Podsticanje rađanja kroz socijalne i ekonomske beneficije.</w:t>
      </w:r>
      <w:r/>
    </w:p>
    <w:p>
      <w:pPr>
        <w:pStyle w:val="956"/>
        <w:numPr>
          <w:ilvl w:val="0"/>
          <w:numId w:val="6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Kreiranje lokalnih radnih mesta kako bi se zaustavio odlazak mladih.</w:t>
      </w:r>
      <w:r/>
    </w:p>
    <w:p>
      <w:pPr>
        <w:pStyle w:val="956"/>
        <w:numPr>
          <w:ilvl w:val="0"/>
          <w:numId w:val="6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Podrška povratnicima iz dijaspore da ulažu u lokalnu zajednicu.</w:t>
      </w:r>
      <w:r/>
    </w:p>
    <w:p>
      <w:pPr>
        <w:ind w:left="709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r>
        <w:rPr>
          <w:highlight w:val="none"/>
        </w:rPr>
      </w:r>
      <w:r>
        <w:rPr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61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sana">
    <w:panose1 w:val="02000603000000000000"/>
  </w:font>
  <w:font w:name="Arial Narrow">
    <w:panose1 w:val="020B06060202020302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jc w:val="right"/>
    </w:pPr>
    <w:fldSimple w:instr="PAGE \* MERGEFORMAT">
      <w:r>
        <w:t xml:space="preserve">1</w:t>
      </w:r>
    </w:fldSimple>
    <w:r/>
    <w:r/>
  </w:p>
  <w:p>
    <w:pPr>
      <w:pStyle w:val="804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837641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3" cy="1765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2758522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  <w:r/>
  </w:p>
  <w:p>
    <w:pPr>
      <w:pStyle w:val="8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6">
    <w:name w:val="Heading 1"/>
    <w:basedOn w:val="952"/>
    <w:next w:val="952"/>
    <w:link w:val="7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7">
    <w:name w:val="Heading 1 Char"/>
    <w:link w:val="776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52"/>
    <w:next w:val="952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52"/>
    <w:next w:val="952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52"/>
    <w:next w:val="952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52"/>
    <w:next w:val="952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52"/>
    <w:next w:val="952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52"/>
    <w:next w:val="952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52"/>
    <w:next w:val="952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52"/>
    <w:next w:val="952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Title"/>
    <w:basedOn w:val="952"/>
    <w:next w:val="952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link w:val="794"/>
    <w:uiPriority w:val="10"/>
    <w:rPr>
      <w:sz w:val="48"/>
      <w:szCs w:val="48"/>
    </w:rPr>
  </w:style>
  <w:style w:type="paragraph" w:styleId="796">
    <w:name w:val="Subtitle"/>
    <w:basedOn w:val="952"/>
    <w:next w:val="952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link w:val="796"/>
    <w:uiPriority w:val="11"/>
    <w:rPr>
      <w:sz w:val="24"/>
      <w:szCs w:val="24"/>
    </w:rPr>
  </w:style>
  <w:style w:type="paragraph" w:styleId="798">
    <w:name w:val="Quote"/>
    <w:basedOn w:val="952"/>
    <w:next w:val="952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52"/>
    <w:next w:val="952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paragraph" w:styleId="802">
    <w:name w:val="Header"/>
    <w:basedOn w:val="952"/>
    <w:link w:val="8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3">
    <w:name w:val="Header Char"/>
    <w:link w:val="802"/>
    <w:uiPriority w:val="99"/>
  </w:style>
  <w:style w:type="paragraph" w:styleId="804">
    <w:name w:val="Footer"/>
    <w:basedOn w:val="952"/>
    <w:link w:val="8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5">
    <w:name w:val="Footer Char"/>
    <w:link w:val="804"/>
    <w:uiPriority w:val="99"/>
  </w:style>
  <w:style w:type="paragraph" w:styleId="806">
    <w:name w:val="Caption"/>
    <w:basedOn w:val="952"/>
    <w:next w:val="9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7">
    <w:name w:val="Caption Char"/>
    <w:basedOn w:val="806"/>
    <w:link w:val="804"/>
    <w:uiPriority w:val="99"/>
  </w:style>
  <w:style w:type="table" w:styleId="808">
    <w:name w:val="Table Grid"/>
    <w:basedOn w:val="9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Table Grid Light"/>
    <w:basedOn w:val="9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>
    <w:name w:val="Plain Table 1"/>
    <w:basedOn w:val="9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2"/>
    <w:basedOn w:val="9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3">
    <w:name w:val="Plain Table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Plain Table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5">
    <w:name w:val="Grid Table 1 Light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4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7">
    <w:name w:val="Grid Table 4 - Accent 1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8">
    <w:name w:val="Grid Table 4 - Accent 2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Grid Table 4 - Accent 3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0">
    <w:name w:val="Grid Table 4 - Accent 4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Grid Table 4 - Accent 5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2">
    <w:name w:val="Grid Table 4 - Accent 6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3">
    <w:name w:val="Grid Table 5 Dark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4">
    <w:name w:val="Grid Table 5 Dark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7">
    <w:name w:val="Grid Table 5 Dark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0">
    <w:name w:val="Grid Table 6 Colorful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1">
    <w:name w:val="Grid Table 6 Colorful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2">
    <w:name w:val="Grid Table 6 Colorful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3">
    <w:name w:val="Grid Table 6 Colorful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4">
    <w:name w:val="Grid Table 6 Colorful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5">
    <w:name w:val="Grid Table 6 Colorful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6">
    <w:name w:val="Grid Table 6 Colorful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7">
    <w:name w:val="Grid Table 7 Colorful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2">
    <w:name w:val="List Table 2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3">
    <w:name w:val="List Table 2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4">
    <w:name w:val="List Table 2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5">
    <w:name w:val="List Table 2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6">
    <w:name w:val="List Table 2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7">
    <w:name w:val="List Table 2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8">
    <w:name w:val="List Table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5 Dark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6 Colorful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0">
    <w:name w:val="List Table 6 Colorful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1">
    <w:name w:val="List Table 6 Colorful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2">
    <w:name w:val="List Table 6 Colorful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3">
    <w:name w:val="List Table 6 Colorful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4">
    <w:name w:val="List Table 6 Colorful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5">
    <w:name w:val="List Table 6 Colorful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6">
    <w:name w:val="List Table 7 Colorful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7">
    <w:name w:val="List Table 7 Colorful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8">
    <w:name w:val="List Table 7 Colorful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9">
    <w:name w:val="List Table 7 Colorful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0">
    <w:name w:val="List Table 7 Colorful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1">
    <w:name w:val="List Table 7 Colorful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2">
    <w:name w:val="List Table 7 Colorful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3">
    <w:name w:val="Lined - Accent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Lined - Accent 1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5">
    <w:name w:val="Lined - Accent 2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6">
    <w:name w:val="Lined - Accent 3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7">
    <w:name w:val="Lined - Accent 4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8">
    <w:name w:val="Lined - Accent 5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9">
    <w:name w:val="Lined - Accent 6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0">
    <w:name w:val="Bordered &amp; Lined - Accent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1">
    <w:name w:val="Bordered &amp; Lined - Accent 1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2">
    <w:name w:val="Bordered &amp; Lined - Accent 2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3">
    <w:name w:val="Bordered &amp; Lined - Accent 3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4">
    <w:name w:val="Bordered &amp; Lined - Accent 4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5">
    <w:name w:val="Bordered &amp; Lined - Accent 5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6">
    <w:name w:val="Bordered &amp; Lined - Accent 6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7">
    <w:name w:val="Bordered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8">
    <w:name w:val="Bordered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9">
    <w:name w:val="Bordered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0">
    <w:name w:val="Bordered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1">
    <w:name w:val="Bordered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2">
    <w:name w:val="Bordered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3">
    <w:name w:val="Bordered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4">
    <w:name w:val="Hyperlink"/>
    <w:uiPriority w:val="99"/>
    <w:unhideWhenUsed/>
    <w:rPr>
      <w:color w:val="0000ff" w:themeColor="hyperlink"/>
      <w:u w:val="single"/>
    </w:rPr>
  </w:style>
  <w:style w:type="paragraph" w:styleId="935">
    <w:name w:val="footnote text"/>
    <w:basedOn w:val="952"/>
    <w:link w:val="936"/>
    <w:uiPriority w:val="99"/>
    <w:semiHidden/>
    <w:unhideWhenUsed/>
    <w:pPr>
      <w:spacing w:after="40" w:line="240" w:lineRule="auto"/>
    </w:pPr>
    <w:rPr>
      <w:sz w:val="18"/>
    </w:rPr>
  </w:style>
  <w:style w:type="character" w:styleId="936">
    <w:name w:val="Footnote Text Char"/>
    <w:link w:val="935"/>
    <w:uiPriority w:val="99"/>
    <w:rPr>
      <w:sz w:val="18"/>
    </w:rPr>
  </w:style>
  <w:style w:type="character" w:styleId="937">
    <w:name w:val="footnote reference"/>
    <w:uiPriority w:val="99"/>
    <w:unhideWhenUsed/>
    <w:rPr>
      <w:vertAlign w:val="superscript"/>
    </w:rPr>
  </w:style>
  <w:style w:type="paragraph" w:styleId="938">
    <w:name w:val="endnote text"/>
    <w:basedOn w:val="952"/>
    <w:link w:val="939"/>
    <w:uiPriority w:val="99"/>
    <w:semiHidden/>
    <w:unhideWhenUsed/>
    <w:pPr>
      <w:spacing w:after="0" w:line="240" w:lineRule="auto"/>
    </w:pPr>
    <w:rPr>
      <w:sz w:val="20"/>
    </w:rPr>
  </w:style>
  <w:style w:type="character" w:styleId="939">
    <w:name w:val="Endnote Text Char"/>
    <w:link w:val="938"/>
    <w:uiPriority w:val="99"/>
    <w:rPr>
      <w:sz w:val="20"/>
    </w:rPr>
  </w:style>
  <w:style w:type="character" w:styleId="940">
    <w:name w:val="endnote reference"/>
    <w:uiPriority w:val="99"/>
    <w:semiHidden/>
    <w:unhideWhenUsed/>
    <w:rPr>
      <w:vertAlign w:val="superscript"/>
    </w:rPr>
  </w:style>
  <w:style w:type="paragraph" w:styleId="941">
    <w:name w:val="toc 1"/>
    <w:basedOn w:val="952"/>
    <w:next w:val="952"/>
    <w:uiPriority w:val="39"/>
    <w:unhideWhenUsed/>
    <w:pPr>
      <w:ind w:left="0" w:right="0" w:firstLine="0"/>
      <w:spacing w:after="57"/>
    </w:pPr>
  </w:style>
  <w:style w:type="paragraph" w:styleId="942">
    <w:name w:val="toc 2"/>
    <w:basedOn w:val="952"/>
    <w:next w:val="952"/>
    <w:uiPriority w:val="39"/>
    <w:unhideWhenUsed/>
    <w:pPr>
      <w:ind w:left="283" w:right="0" w:firstLine="0"/>
      <w:spacing w:after="57"/>
    </w:pPr>
  </w:style>
  <w:style w:type="paragraph" w:styleId="943">
    <w:name w:val="toc 3"/>
    <w:basedOn w:val="952"/>
    <w:next w:val="952"/>
    <w:uiPriority w:val="39"/>
    <w:unhideWhenUsed/>
    <w:pPr>
      <w:ind w:left="567" w:right="0" w:firstLine="0"/>
      <w:spacing w:after="57"/>
    </w:pPr>
  </w:style>
  <w:style w:type="paragraph" w:styleId="944">
    <w:name w:val="toc 4"/>
    <w:basedOn w:val="952"/>
    <w:next w:val="952"/>
    <w:uiPriority w:val="39"/>
    <w:unhideWhenUsed/>
    <w:pPr>
      <w:ind w:left="850" w:right="0" w:firstLine="0"/>
      <w:spacing w:after="57"/>
    </w:pPr>
  </w:style>
  <w:style w:type="paragraph" w:styleId="945">
    <w:name w:val="toc 5"/>
    <w:basedOn w:val="952"/>
    <w:next w:val="952"/>
    <w:uiPriority w:val="39"/>
    <w:unhideWhenUsed/>
    <w:pPr>
      <w:ind w:left="1134" w:right="0" w:firstLine="0"/>
      <w:spacing w:after="57"/>
    </w:pPr>
  </w:style>
  <w:style w:type="paragraph" w:styleId="946">
    <w:name w:val="toc 6"/>
    <w:basedOn w:val="952"/>
    <w:next w:val="952"/>
    <w:uiPriority w:val="39"/>
    <w:unhideWhenUsed/>
    <w:pPr>
      <w:ind w:left="1417" w:right="0" w:firstLine="0"/>
      <w:spacing w:after="57"/>
    </w:pPr>
  </w:style>
  <w:style w:type="paragraph" w:styleId="947">
    <w:name w:val="toc 7"/>
    <w:basedOn w:val="952"/>
    <w:next w:val="952"/>
    <w:uiPriority w:val="39"/>
    <w:unhideWhenUsed/>
    <w:pPr>
      <w:ind w:left="1701" w:right="0" w:firstLine="0"/>
      <w:spacing w:after="57"/>
    </w:pPr>
  </w:style>
  <w:style w:type="paragraph" w:styleId="948">
    <w:name w:val="toc 8"/>
    <w:basedOn w:val="952"/>
    <w:next w:val="952"/>
    <w:uiPriority w:val="39"/>
    <w:unhideWhenUsed/>
    <w:pPr>
      <w:ind w:left="1984" w:right="0" w:firstLine="0"/>
      <w:spacing w:after="57"/>
    </w:pPr>
  </w:style>
  <w:style w:type="paragraph" w:styleId="949">
    <w:name w:val="toc 9"/>
    <w:basedOn w:val="952"/>
    <w:next w:val="952"/>
    <w:uiPriority w:val="39"/>
    <w:unhideWhenUsed/>
    <w:pPr>
      <w:ind w:left="2268" w:right="0" w:firstLine="0"/>
      <w:spacing w:after="57"/>
    </w:pPr>
  </w:style>
  <w:style w:type="paragraph" w:styleId="950">
    <w:name w:val="TOC Heading"/>
    <w:uiPriority w:val="39"/>
    <w:unhideWhenUsed/>
  </w:style>
  <w:style w:type="paragraph" w:styleId="951">
    <w:name w:val="table of figures"/>
    <w:basedOn w:val="952"/>
    <w:next w:val="952"/>
    <w:uiPriority w:val="99"/>
    <w:unhideWhenUsed/>
    <w:pPr>
      <w:spacing w:after="0" w:afterAutospacing="0"/>
    </w:pPr>
  </w:style>
  <w:style w:type="paragraph" w:styleId="952" w:default="1">
    <w:name w:val="Normal"/>
    <w:qFormat/>
  </w:style>
  <w:style w:type="table" w:styleId="9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4" w:default="1">
    <w:name w:val="No List"/>
    <w:uiPriority w:val="99"/>
    <w:semiHidden/>
    <w:unhideWhenUsed/>
  </w:style>
  <w:style w:type="paragraph" w:styleId="955">
    <w:name w:val="No Spacing"/>
    <w:basedOn w:val="952"/>
    <w:uiPriority w:val="1"/>
    <w:qFormat/>
    <w:pPr>
      <w:spacing w:after="0" w:line="240" w:lineRule="auto"/>
    </w:pPr>
  </w:style>
  <w:style w:type="paragraph" w:styleId="956">
    <w:name w:val="List Paragraph"/>
    <w:basedOn w:val="952"/>
    <w:uiPriority w:val="34"/>
    <w:qFormat/>
    <w:pPr>
      <w:contextualSpacing/>
      <w:ind w:left="720"/>
    </w:pPr>
  </w:style>
  <w:style w:type="character" w:styleId="95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hart" Target="charts/chart1.xml" /><Relationship Id="rId12" Type="http://schemas.openxmlformats.org/officeDocument/2006/relationships/chart" Target="charts/chart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charts/_rels/chart1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microsoft.com/office/2011/relationships/chartStyle" Target="style2.xml" /><Relationship Id="rId2" Type="http://schemas.microsoft.com/office/2011/relationships/chartColorStyle" Target="colors2.xml" /><Relationship Id="rId3" Type="http://schemas.openxmlformats.org/officeDocument/2006/relationships/package" Target="../embeddings/Microsoft_Excel_Worksheet2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p>
            <a:pPr>
              <a:defRPr sz="1400" b="0" spc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/>
              <a:t>Broj stanovnika Sjenice kroz popise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</c:spPr>
      <c:txPr>
        <a:bodyPr/>
        <a:p>
          <a:pPr>
            <a:defRPr sz="1400" b="0" spc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/>
        </a:p>
      </c:txPr>
    </c:title>
    <c:autoTitleDeleted val="0"/>
    <c:plotArea>
      <c:layout>
        <c:manualLayout/>
      </c:layout>
      <c:lineChart>
        <c:grouping val="standard"/>
        <c:varyColors val="0"/>
        <c:ser>
          <c:idx val="0"/>
          <c:order val="0"/>
          <c:tx>
            <c:strRef>
              <c:f>Sjenica!$C$24</c:f>
              <c:strCache>
                <c:ptCount val="1"/>
                <c:pt idx="0">
                  <c:v xml:space="preserve">Broj stanovnika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 w="28575" cap="rnd">
              <a:solidFill>
                <a:schemeClr val="accent1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1"/>
              </a:solidFill>
              <a:ln/>
            </c:spPr>
          </c:marker>
          <c:cat>
            <c:strRef>
              <c:f>Sjenica!$B$25:$B$33</c:f>
              <c:strCache>
                <c:ptCount val="9"/>
                <c:pt idx="0">
                  <c:v>g.1948</c:v>
                </c:pt>
                <c:pt idx="1">
                  <c:v>g.1953</c:v>
                </c:pt>
                <c:pt idx="2">
                  <c:v>g.1961</c:v>
                </c:pt>
                <c:pt idx="3">
                  <c:v>g.1971</c:v>
                </c:pt>
                <c:pt idx="4">
                  <c:v>g.1981</c:v>
                </c:pt>
                <c:pt idx="5">
                  <c:v>g.1991</c:v>
                </c:pt>
                <c:pt idx="6">
                  <c:v>g.2002</c:v>
                </c:pt>
                <c:pt idx="7">
                  <c:v>g.2011</c:v>
                </c:pt>
                <c:pt idx="8">
                  <c:v>g.2022</c:v>
                </c:pt>
              </c:strCache>
            </c:strRef>
          </c:cat>
          <c:val>
            <c:numRef>
              <c:f>Sjenica!$C$25:$C$33</c:f>
              <c:numCache>
                <c:formatCode>General</c:formatCode>
                <c:ptCount val="9"/>
                <c:pt idx="0">
                  <c:v>31980</c:v>
                </c:pt>
                <c:pt idx="1">
                  <c:v>36033</c:v>
                </c:pt>
                <c:pt idx="2">
                  <c:v>36950</c:v>
                </c:pt>
                <c:pt idx="3">
                  <c:v>36622</c:v>
                </c:pt>
                <c:pt idx="4">
                  <c:v>35570</c:v>
                </c:pt>
                <c:pt idx="5">
                  <c:v>33681</c:v>
                </c:pt>
                <c:pt idx="6">
                  <c:v>33769</c:v>
                </c:pt>
                <c:pt idx="7">
                  <c:v>26392</c:v>
                </c:pt>
                <c:pt idx="8">
                  <c:v>24083</c:v>
                </c:pt>
              </c:numCache>
            </c:numRef>
          </c: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marker val="1"/>
        <c:smooth val="0"/>
        <c:axId val="511721997"/>
        <c:axId val="511721998"/>
      </c:lineChart>
      <c:catAx>
        <c:axId val="511721997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1998"/>
        <c:crosses val="autoZero"/>
        <c:auto val="1"/>
        <c:lblAlgn val="ctr"/>
        <c:lblOffset val="100"/>
        <c:noMultiLvlLbl val="0"/>
      </c:catAx>
      <c:valAx>
        <c:axId val="51172199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1997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plotVisOnly val="1"/>
    <c:dispBlanksAs val="gap"/>
    <c:showDLblsOverMax val="0"/>
  </c:chart>
  <c:spPr bwMode="auto">
    <a:xfrm>
      <a:off x="0" y="0"/>
      <a:ext cx="4046196" cy="2500905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p>
            <a:pPr>
              <a:defRPr sz="1400" b="0" spc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/>
              <a:t>Grafički prikaz promena u starosnoj strukturi stanovnika Sjenice kroz popise 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</c:spPr>
      <c:txPr>
        <a:bodyPr/>
        <a:p>
          <a:pPr>
            <a:defRPr sz="1400" b="0" spc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/>
        </a:p>
      </c:txPr>
    </c:title>
    <c:autoTitleDeleted val="0"/>
    <c:plotArea>
      <c:layout>
        <c:manualLayout>
          <c:layoutTarget val="inner"/>
          <c:xMode val="edge"/>
          <c:yMode val="edge"/>
          <c:x val="0.094339999999999993"/>
          <c:y val="0.19366"/>
          <c:w val="0.88161999999999996"/>
          <c:h val="0.57274000000000003"/>
        </c:manualLayout>
      </c:layout>
      <c:lineChart>
        <c:grouping val="standard"/>
        <c:varyColors val="0"/>
        <c:ser>
          <c:idx val="0"/>
          <c:order val="0"/>
          <c:tx>
            <c:strRef>
              <c:f>Sjenica!$B$4</c:f>
              <c:strCache>
                <c:ptCount val="1"/>
                <c:pt idx="0">
                  <c:v>g.1981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 w="28575" cap="rnd">
              <a:solidFill>
                <a:schemeClr val="accent1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1"/>
              </a:solidFill>
              <a:ln/>
            </c:spPr>
          </c:marker>
          <c:cat>
            <c:strRef>
              <c:f>Sjenica!$C$3:$T$3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Sjenica!$C$4:$T$4</c:f>
              <c:numCache>
                <c:formatCode>General</c:formatCode>
                <c:ptCount val="18"/>
                <c:pt idx="0">
                  <c:v>3505</c:v>
                </c:pt>
                <c:pt idx="1">
                  <c:v>3813</c:v>
                </c:pt>
                <c:pt idx="2">
                  <c:v>4116</c:v>
                </c:pt>
                <c:pt idx="3">
                  <c:v>4246</c:v>
                </c:pt>
                <c:pt idx="4">
                  <c:v>3398</c:v>
                </c:pt>
                <c:pt idx="5">
                  <c:v>2652</c:v>
                </c:pt>
                <c:pt idx="6">
                  <c:v>2146</c:v>
                </c:pt>
                <c:pt idx="7">
                  <c:v>1739</c:v>
                </c:pt>
                <c:pt idx="8">
                  <c:v>1971</c:v>
                </c:pt>
                <c:pt idx="9">
                  <c:v>1911</c:v>
                </c:pt>
                <c:pt idx="10">
                  <c:v>1634</c:v>
                </c:pt>
                <c:pt idx="11">
                  <c:v>1047</c:v>
                </c:pt>
                <c:pt idx="12">
                  <c:v>1000</c:v>
                </c:pt>
                <c:pt idx="13">
                  <c:v>1192</c:v>
                </c:pt>
                <c:pt idx="14">
                  <c:v>1000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Sjenica!$B$5</c:f>
              <c:strCache>
                <c:ptCount val="1"/>
                <c:pt idx="0">
                  <c:v>g.1991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/>
            </a:solidFill>
            <a:ln w="28575" cap="rnd">
              <a:solidFill>
                <a:schemeClr val="accent2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2"/>
              </a:solidFill>
              <a:ln/>
            </c:spPr>
          </c:marker>
          <c:cat>
            <c:strRef>
              <c:f>Sjenica!$C$3:$T$3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Sjenica!$C$5:$T$5</c:f>
              <c:numCache>
                <c:formatCode>General</c:formatCode>
                <c:ptCount val="18"/>
                <c:pt idx="0">
                  <c:v>3010</c:v>
                </c:pt>
                <c:pt idx="1">
                  <c:v>2823</c:v>
                </c:pt>
                <c:pt idx="2">
                  <c:v>3126</c:v>
                </c:pt>
                <c:pt idx="3">
                  <c:v>3545</c:v>
                </c:pt>
                <c:pt idx="4">
                  <c:v>3296</c:v>
                </c:pt>
                <c:pt idx="5">
                  <c:v>2761</c:v>
                </c:pt>
                <c:pt idx="6">
                  <c:v>2188</c:v>
                </c:pt>
                <c:pt idx="7">
                  <c:v>2042</c:v>
                </c:pt>
                <c:pt idx="8">
                  <c:v>1859</c:v>
                </c:pt>
                <c:pt idx="9">
                  <c:v>1554</c:v>
                </c:pt>
                <c:pt idx="10">
                  <c:v>1807</c:v>
                </c:pt>
                <c:pt idx="11">
                  <c:v>1744</c:v>
                </c:pt>
                <c:pt idx="12">
                  <c:v>1412</c:v>
                </c:pt>
                <c:pt idx="13">
                  <c:v>919</c:v>
                </c:pt>
                <c:pt idx="14">
                  <c:v>628</c:v>
                </c:pt>
                <c:pt idx="15">
                  <c:v>447</c:v>
                </c:pt>
                <c:pt idx="16">
                  <c:v>254</c:v>
                </c:pt>
                <c:pt idx="17">
                  <c:v>147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Sjenica!$B$6</c:f>
              <c:strCache>
                <c:ptCount val="1"/>
                <c:pt idx="0">
                  <c:v>g.2002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/>
            </a:solidFill>
            <a:ln w="28575" cap="rnd">
              <a:solidFill>
                <a:schemeClr val="accent3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3"/>
              </a:solidFill>
              <a:ln/>
            </c:spPr>
          </c:marker>
          <c:cat>
            <c:strRef>
              <c:f>Sjenica!$C$3:$T$3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Sjenica!$C$6:$T$6</c:f>
              <c:numCache>
                <c:formatCode>General</c:formatCode>
                <c:ptCount val="18"/>
                <c:pt idx="0">
                  <c:v>1946</c:v>
                </c:pt>
                <c:pt idx="1">
                  <c:v>1934</c:v>
                </c:pt>
                <c:pt idx="2">
                  <c:v>2286</c:v>
                </c:pt>
                <c:pt idx="3">
                  <c:v>2313</c:v>
                </c:pt>
                <c:pt idx="4">
                  <c:v>2205</c:v>
                </c:pt>
                <c:pt idx="5">
                  <c:v>2071</c:v>
                </c:pt>
                <c:pt idx="6">
                  <c:v>1812</c:v>
                </c:pt>
                <c:pt idx="7">
                  <c:v>1797</c:v>
                </c:pt>
                <c:pt idx="8">
                  <c:v>1707</c:v>
                </c:pt>
                <c:pt idx="9">
                  <c:v>1696</c:v>
                </c:pt>
                <c:pt idx="10">
                  <c:v>1597</c:v>
                </c:pt>
                <c:pt idx="11">
                  <c:v>1323</c:v>
                </c:pt>
                <c:pt idx="12">
                  <c:v>1417</c:v>
                </c:pt>
                <c:pt idx="13">
                  <c:v>1352</c:v>
                </c:pt>
                <c:pt idx="14">
                  <c:v>1071</c:v>
                </c:pt>
                <c:pt idx="15">
                  <c:v>563</c:v>
                </c:pt>
                <c:pt idx="16">
                  <c:v>437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Sjenica!$B$7</c:f>
              <c:strCache>
                <c:ptCount val="1"/>
                <c:pt idx="0">
                  <c:v>g.2011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4"/>
            </a:solidFill>
            <a:ln w="28575" cap="rnd">
              <a:solidFill>
                <a:schemeClr val="accent4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4"/>
              </a:solidFill>
              <a:ln/>
            </c:spPr>
          </c:marker>
          <c:cat>
            <c:strRef>
              <c:f>Sjenica!$C$3:$T$3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Sjenica!$C$7:$T$7</c:f>
              <c:numCache>
                <c:formatCode>General</c:formatCode>
                <c:ptCount val="18"/>
                <c:pt idx="0">
                  <c:v>1766</c:v>
                </c:pt>
                <c:pt idx="1">
                  <c:v>1928</c:v>
                </c:pt>
                <c:pt idx="2">
                  <c:v>1881</c:v>
                </c:pt>
                <c:pt idx="3">
                  <c:v>1817</c:v>
                </c:pt>
                <c:pt idx="4">
                  <c:v>1948</c:v>
                </c:pt>
                <c:pt idx="5">
                  <c:v>1765</c:v>
                </c:pt>
                <c:pt idx="6">
                  <c:v>1765</c:v>
                </c:pt>
                <c:pt idx="7">
                  <c:v>1783</c:v>
                </c:pt>
                <c:pt idx="8">
                  <c:v>1808</c:v>
                </c:pt>
                <c:pt idx="9">
                  <c:v>1808</c:v>
                </c:pt>
                <c:pt idx="10">
                  <c:v>1603</c:v>
                </c:pt>
                <c:pt idx="11">
                  <c:v>1565</c:v>
                </c:pt>
                <c:pt idx="12">
                  <c:v>1442</c:v>
                </c:pt>
                <c:pt idx="13">
                  <c:v>1058</c:v>
                </c:pt>
                <c:pt idx="14">
                  <c:v>1070</c:v>
                </c:pt>
                <c:pt idx="15">
                  <c:v>803</c:v>
                </c:pt>
                <c:pt idx="16">
                  <c:v>399</c:v>
                </c:pt>
                <c:pt idx="17">
                  <c:v>183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Sjenica!$B$8</c:f>
              <c:strCache>
                <c:ptCount val="1"/>
                <c:pt idx="0">
                  <c:v>g.2022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5"/>
            </a:solidFill>
            <a:ln w="28575" cap="rnd">
              <a:solidFill>
                <a:schemeClr val="accent5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5"/>
              </a:solidFill>
              <a:ln/>
            </c:spPr>
          </c:marker>
          <c:cat>
            <c:strRef>
              <c:f>Sjenica!$C$3:$T$3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Sjenica!$C$8:$T$8</c:f>
              <c:numCache>
                <c:formatCode>General</c:formatCode>
                <c:ptCount val="18"/>
                <c:pt idx="0">
                  <c:v>1477</c:v>
                </c:pt>
                <c:pt idx="1">
                  <c:v>1598</c:v>
                </c:pt>
                <c:pt idx="2">
                  <c:v>1705</c:v>
                </c:pt>
                <c:pt idx="3">
                  <c:v>1696</c:v>
                </c:pt>
                <c:pt idx="4">
                  <c:v>1478</c:v>
                </c:pt>
                <c:pt idx="5">
                  <c:v>1310</c:v>
                </c:pt>
                <c:pt idx="6">
                  <c:v>1493</c:v>
                </c:pt>
                <c:pt idx="7">
                  <c:v>1484</c:v>
                </c:pt>
                <c:pt idx="8">
                  <c:v>1534</c:v>
                </c:pt>
                <c:pt idx="9">
                  <c:v>1566</c:v>
                </c:pt>
                <c:pt idx="10">
                  <c:v>1557</c:v>
                </c:pt>
                <c:pt idx="11">
                  <c:v>1643</c:v>
                </c:pt>
                <c:pt idx="12">
                  <c:v>1533</c:v>
                </c:pt>
                <c:pt idx="13">
                  <c:v>1389</c:v>
                </c:pt>
                <c:pt idx="14">
                  <c:v>1108</c:v>
                </c:pt>
                <c:pt idx="15">
                  <c:v>745</c:v>
                </c:pt>
                <c:pt idx="16">
                  <c:v>477</c:v>
                </c:pt>
                <c:pt idx="17">
                  <c:v>290</c:v>
                </c:pt>
              </c:numCache>
            </c:numRef>
          </c: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marker val="1"/>
        <c:smooth val="0"/>
        <c:axId val="511722011"/>
        <c:axId val="511722012"/>
      </c:lineChart>
      <c:catAx>
        <c:axId val="511722011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2012"/>
        <c:crosses val="autoZero"/>
        <c:auto val="1"/>
        <c:lblAlgn val="ctr"/>
        <c:lblOffset val="100"/>
        <c:noMultiLvlLbl val="0"/>
      </c:catAx>
      <c:valAx>
        <c:axId val="51172201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2011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 bwMode="auto">
    <a:xfrm>
      <a:off x="0" y="0"/>
      <a:ext cx="5153024" cy="3119436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2024-12-30T21:57:38Z</dcterms:modified>
</cp:coreProperties>
</file>